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4702" w:rsidRPr="00B96FAC" w:rsidRDefault="00304702">
      <w:pPr>
        <w:ind w:left="0" w:hanging="2"/>
        <w:jc w:val="center"/>
        <w:rPr>
          <w:rFonts w:asciiTheme="majorHAnsi" w:eastAsia="Calibri" w:hAnsiTheme="majorHAnsi" w:cstheme="majorHAnsi"/>
          <w:b/>
          <w:sz w:val="22"/>
          <w:szCs w:val="22"/>
        </w:rPr>
      </w:pPr>
      <w:bookmarkStart w:id="0" w:name="_GoBack"/>
      <w:bookmarkEnd w:id="0"/>
    </w:p>
    <w:p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 xml:space="preserve">PROPUESTA </w:t>
      </w:r>
      <w:r w:rsidR="00304702" w:rsidRPr="006446A3">
        <w:rPr>
          <w:rFonts w:asciiTheme="majorHAnsi" w:eastAsia="Calibri" w:hAnsiTheme="majorHAnsi" w:cstheme="majorHAnsi"/>
          <w:b/>
          <w:sz w:val="22"/>
          <w:szCs w:val="22"/>
        </w:rPr>
        <w:t>TÉCNICO</w:t>
      </w:r>
      <w:r w:rsidRPr="006446A3">
        <w:rPr>
          <w:rFonts w:asciiTheme="majorHAnsi" w:eastAsia="Calibri" w:hAnsiTheme="majorHAnsi" w:cstheme="majorHAnsi"/>
          <w:b/>
          <w:sz w:val="22"/>
          <w:szCs w:val="22"/>
        </w:rPr>
        <w:t xml:space="preserve"> – ECONÓMICA</w:t>
      </w:r>
    </w:p>
    <w:p w:rsidR="00304702" w:rsidRPr="006446A3" w:rsidRDefault="00304702" w:rsidP="00304702">
      <w:pPr>
        <w:ind w:left="0" w:hanging="2"/>
        <w:rPr>
          <w:rFonts w:asciiTheme="majorHAnsi" w:eastAsia="Calibri" w:hAnsiTheme="majorHAnsi" w:cstheme="majorHAnsi"/>
          <w:b/>
          <w:sz w:val="22"/>
          <w:szCs w:val="22"/>
        </w:rPr>
      </w:pPr>
    </w:p>
    <w:p w:rsidR="00510F13" w:rsidRPr="006446A3" w:rsidRDefault="00304702">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I</w:t>
      </w:r>
      <w:r w:rsidR="00BD3E37" w:rsidRPr="006446A3">
        <w:rPr>
          <w:rFonts w:asciiTheme="majorHAnsi" w:eastAsia="Calibri" w:hAnsiTheme="majorHAnsi" w:cstheme="majorHAnsi"/>
          <w:b/>
          <w:sz w:val="22"/>
          <w:szCs w:val="22"/>
        </w:rPr>
        <w:t>NVITACIÓN A COTIZAR No. 0</w:t>
      </w:r>
      <w:r w:rsidR="00486A77" w:rsidRPr="006446A3">
        <w:rPr>
          <w:rFonts w:asciiTheme="majorHAnsi" w:eastAsia="Calibri" w:hAnsiTheme="majorHAnsi" w:cstheme="majorHAnsi"/>
          <w:b/>
          <w:sz w:val="22"/>
          <w:szCs w:val="22"/>
        </w:rPr>
        <w:t>4</w:t>
      </w:r>
      <w:r w:rsidR="003D3A58" w:rsidRPr="006446A3">
        <w:rPr>
          <w:rFonts w:asciiTheme="majorHAnsi" w:eastAsia="Calibri" w:hAnsiTheme="majorHAnsi" w:cstheme="majorHAnsi"/>
          <w:b/>
          <w:sz w:val="22"/>
          <w:szCs w:val="22"/>
        </w:rPr>
        <w:t>9</w:t>
      </w:r>
      <w:r w:rsidR="00BD3E37" w:rsidRPr="006446A3">
        <w:rPr>
          <w:rFonts w:asciiTheme="majorHAnsi" w:eastAsia="Calibri" w:hAnsiTheme="majorHAnsi" w:cstheme="majorHAnsi"/>
          <w:b/>
          <w:sz w:val="22"/>
          <w:szCs w:val="22"/>
        </w:rPr>
        <w:t xml:space="preserve"> - 20</w:t>
      </w:r>
      <w:r w:rsidRPr="006446A3">
        <w:rPr>
          <w:rFonts w:asciiTheme="majorHAnsi" w:eastAsia="Calibri" w:hAnsiTheme="majorHAnsi" w:cstheme="majorHAnsi"/>
          <w:b/>
          <w:sz w:val="22"/>
          <w:szCs w:val="22"/>
        </w:rPr>
        <w:t>22</w:t>
      </w:r>
    </w:p>
    <w:p w:rsidR="00510F13" w:rsidRPr="006446A3" w:rsidRDefault="00BD3E37">
      <w:pPr>
        <w:keepNext/>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ANEXO No. 2</w:t>
      </w:r>
    </w:p>
    <w:p w:rsidR="00510F13" w:rsidRPr="006446A3" w:rsidRDefault="00510F13">
      <w:pPr>
        <w:ind w:left="0" w:hanging="2"/>
        <w:jc w:val="center"/>
        <w:rPr>
          <w:rFonts w:asciiTheme="majorHAnsi" w:eastAsia="Calibri" w:hAnsiTheme="majorHAnsi" w:cstheme="majorHAnsi"/>
          <w:sz w:val="22"/>
          <w:szCs w:val="22"/>
        </w:rPr>
      </w:pPr>
    </w:p>
    <w:p w:rsidR="00510F13" w:rsidRPr="006446A3" w:rsidRDefault="00510F13">
      <w:pPr>
        <w:ind w:left="0" w:hanging="2"/>
        <w:jc w:val="both"/>
        <w:rPr>
          <w:rFonts w:asciiTheme="majorHAnsi" w:eastAsia="Trebuchet MS" w:hAnsiTheme="majorHAnsi" w:cstheme="majorHAnsi"/>
          <w:sz w:val="16"/>
          <w:szCs w:val="16"/>
        </w:rPr>
      </w:pPr>
      <w:bookmarkStart w:id="1" w:name="_gjdgxs" w:colFirst="0" w:colLast="0"/>
      <w:bookmarkEnd w:id="1"/>
    </w:p>
    <w:p w:rsidR="00215FE9" w:rsidRPr="006446A3" w:rsidRDefault="00215FE9">
      <w:pPr>
        <w:ind w:left="0" w:hanging="2"/>
        <w:jc w:val="both"/>
        <w:rPr>
          <w:rFonts w:asciiTheme="majorHAnsi" w:eastAsia="Trebuchet MS" w:hAnsiTheme="majorHAnsi" w:cstheme="majorHAnsi"/>
          <w:sz w:val="16"/>
          <w:szCs w:val="16"/>
        </w:rPr>
      </w:pPr>
    </w:p>
    <w:p w:rsidR="00AE1A2E" w:rsidRPr="006446A3" w:rsidRDefault="00AE1A2E" w:rsidP="00AE1A2E">
      <w:pPr>
        <w:ind w:left="0" w:hanging="2"/>
        <w:jc w:val="both"/>
        <w:rPr>
          <w:rFonts w:asciiTheme="majorHAnsi" w:hAnsiTheme="majorHAnsi" w:cstheme="majorHAnsi"/>
          <w:b/>
        </w:rPr>
      </w:pPr>
      <w:r w:rsidRPr="006446A3">
        <w:rPr>
          <w:rFonts w:asciiTheme="majorHAnsi" w:eastAsia="Calibri" w:hAnsiTheme="majorHAnsi" w:cstheme="majorHAnsi"/>
          <w:b/>
          <w:sz w:val="22"/>
          <w:szCs w:val="22"/>
        </w:rPr>
        <w:t xml:space="preserve">VALOR DE LA TARIFA DE ADMINISTRACIÓN DE VUELOS NACIONALES NO REEMBOLSABLE: (PUNTAJE </w:t>
      </w:r>
      <w:r w:rsidRPr="006446A3">
        <w:rPr>
          <w:rFonts w:asciiTheme="majorHAnsi" w:hAnsiTheme="majorHAnsi" w:cstheme="majorHAnsi"/>
          <w:b/>
        </w:rPr>
        <w:t>ASIGNADO A QUIEN OFERTE EL MAYOR DESCUENTO) (300 PUNTOS)</w:t>
      </w:r>
    </w:p>
    <w:p w:rsidR="00AE1A2E" w:rsidRPr="006446A3" w:rsidRDefault="00AE1A2E">
      <w:pPr>
        <w:ind w:left="0" w:hanging="2"/>
        <w:jc w:val="both"/>
        <w:rPr>
          <w:rFonts w:asciiTheme="majorHAnsi" w:eastAsia="Calibri" w:hAnsiTheme="majorHAnsi" w:cstheme="majorHAnsi"/>
          <w:sz w:val="22"/>
          <w:szCs w:val="22"/>
        </w:rPr>
      </w:pPr>
    </w:p>
    <w:tbl>
      <w:tblPr>
        <w:tblStyle w:val="a"/>
        <w:tblW w:w="87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4397"/>
      </w:tblGrid>
      <w:tr w:rsidR="00510F13" w:rsidRPr="006446A3" w:rsidTr="00215FE9">
        <w:trPr>
          <w:trHeight w:val="509"/>
        </w:trPr>
        <w:tc>
          <w:tcPr>
            <w:tcW w:w="4390" w:type="dxa"/>
            <w:vAlign w:val="center"/>
          </w:tcPr>
          <w:p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ITEM</w:t>
            </w:r>
          </w:p>
        </w:tc>
        <w:tc>
          <w:tcPr>
            <w:tcW w:w="4397" w:type="dxa"/>
            <w:vAlign w:val="center"/>
          </w:tcPr>
          <w:p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Valor en pesos de la Tarifa de administración de vuelos nacionales ofertada antes de IVA </w:t>
            </w:r>
          </w:p>
        </w:tc>
      </w:tr>
      <w:tr w:rsidR="00510F13" w:rsidRPr="006446A3" w:rsidTr="00215FE9">
        <w:trPr>
          <w:trHeight w:val="720"/>
        </w:trPr>
        <w:tc>
          <w:tcPr>
            <w:tcW w:w="4390" w:type="dxa"/>
          </w:tcPr>
          <w:p w:rsidR="00510F13" w:rsidRPr="006446A3" w:rsidRDefault="00AE1A2E">
            <w:pPr>
              <w:ind w:left="0" w:hanging="2"/>
              <w:jc w:val="both"/>
              <w:rPr>
                <w:rFonts w:asciiTheme="majorHAnsi" w:eastAsia="Calibri" w:hAnsiTheme="majorHAnsi" w:cstheme="majorHAnsi"/>
                <w:sz w:val="22"/>
                <w:szCs w:val="22"/>
              </w:rPr>
            </w:pPr>
            <w:r w:rsidRPr="006446A3">
              <w:rPr>
                <w:rFonts w:asciiTheme="majorHAnsi" w:eastAsia="Calibri" w:hAnsiTheme="majorHAnsi" w:cstheme="majorHAnsi"/>
                <w:sz w:val="22"/>
                <w:szCs w:val="22"/>
              </w:rPr>
              <w:t>Tarifa administrativa que no podrá ser superior a los 60.732 más IVA, ni inferior a los 33.376 más IVA (se deja claridad que la retención en la fuente se calculará solamente sobre la base de la tarifa administrativa como ingreso propio y no sobre los ingresos de terceros, la tarifa administrativa se considera no reembolsable)</w:t>
            </w:r>
          </w:p>
        </w:tc>
        <w:tc>
          <w:tcPr>
            <w:tcW w:w="4397" w:type="dxa"/>
          </w:tcPr>
          <w:p w:rsidR="00510F13" w:rsidRPr="006446A3" w:rsidRDefault="00510F13">
            <w:pPr>
              <w:ind w:left="0" w:hanging="2"/>
              <w:jc w:val="both"/>
              <w:rPr>
                <w:rFonts w:asciiTheme="majorHAnsi" w:eastAsia="Calibri" w:hAnsiTheme="majorHAnsi" w:cstheme="majorHAnsi"/>
                <w:sz w:val="22"/>
                <w:szCs w:val="22"/>
              </w:rPr>
            </w:pPr>
          </w:p>
        </w:tc>
      </w:tr>
    </w:tbl>
    <w:p w:rsidR="00510F13" w:rsidRPr="006446A3" w:rsidRDefault="00510F13">
      <w:pPr>
        <w:ind w:left="0" w:hanging="2"/>
        <w:jc w:val="both"/>
        <w:rPr>
          <w:rFonts w:asciiTheme="majorHAnsi" w:eastAsia="Calibri" w:hAnsiTheme="majorHAnsi" w:cstheme="majorHAnsi"/>
          <w:sz w:val="22"/>
          <w:szCs w:val="22"/>
        </w:rPr>
      </w:pPr>
    </w:p>
    <w:p w:rsidR="00510F13" w:rsidRPr="006446A3" w:rsidRDefault="00510F13">
      <w:pPr>
        <w:ind w:left="0" w:hanging="2"/>
        <w:jc w:val="both"/>
        <w:rPr>
          <w:rFonts w:asciiTheme="majorHAnsi" w:eastAsia="Calibri" w:hAnsiTheme="majorHAnsi" w:cstheme="majorHAnsi"/>
          <w:sz w:val="22"/>
          <w:szCs w:val="22"/>
        </w:rPr>
      </w:pPr>
    </w:p>
    <w:p w:rsidR="00510F13" w:rsidRPr="006446A3" w:rsidRDefault="00AE1A2E">
      <w:pPr>
        <w:ind w:left="0" w:hanging="2"/>
        <w:jc w:val="both"/>
        <w:rPr>
          <w:rFonts w:asciiTheme="majorHAnsi" w:eastAsia="Calibri" w:hAnsiTheme="majorHAnsi" w:cstheme="majorHAnsi"/>
          <w:b/>
          <w:sz w:val="22"/>
          <w:szCs w:val="22"/>
        </w:rPr>
      </w:pPr>
      <w:r w:rsidRPr="006446A3">
        <w:rPr>
          <w:rFonts w:asciiTheme="majorHAnsi" w:eastAsia="Calibri" w:hAnsiTheme="majorHAnsi" w:cstheme="majorHAnsi"/>
          <w:b/>
          <w:sz w:val="22"/>
          <w:szCs w:val="22"/>
        </w:rPr>
        <w:t>VALOR DE LA TARIFA DE ADMINISTRACIÓN DE VUELOS INTERNACIONALES NO REEMBOLSABLE: (PUNTAJE ASIGNADO A QUIEN OFERTE EL MAYOR DESCUENTO) (300 PUNTOS)</w:t>
      </w:r>
    </w:p>
    <w:p w:rsidR="00AE1A2E" w:rsidRPr="006446A3" w:rsidRDefault="00AE1A2E">
      <w:pPr>
        <w:ind w:left="0" w:hanging="2"/>
        <w:jc w:val="both"/>
        <w:rPr>
          <w:rFonts w:asciiTheme="majorHAnsi" w:eastAsia="Calibri" w:hAnsiTheme="majorHAnsi" w:cstheme="majorHAnsi"/>
          <w:sz w:val="22"/>
          <w:szCs w:val="22"/>
        </w:rPr>
      </w:pPr>
    </w:p>
    <w:tbl>
      <w:tblPr>
        <w:tblStyle w:val="a0"/>
        <w:tblW w:w="87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4397"/>
      </w:tblGrid>
      <w:tr w:rsidR="00510F13" w:rsidRPr="006446A3" w:rsidTr="00215FE9">
        <w:trPr>
          <w:trHeight w:val="420"/>
        </w:trPr>
        <w:tc>
          <w:tcPr>
            <w:tcW w:w="4390" w:type="dxa"/>
            <w:vAlign w:val="center"/>
          </w:tcPr>
          <w:p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ITEM</w:t>
            </w:r>
          </w:p>
        </w:tc>
        <w:tc>
          <w:tcPr>
            <w:tcW w:w="4397" w:type="dxa"/>
            <w:vAlign w:val="center"/>
          </w:tcPr>
          <w:p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Valor en dólares de la Tarifa de administración de vuelos nacionales ofertada antes de IVA </w:t>
            </w:r>
          </w:p>
        </w:tc>
      </w:tr>
      <w:tr w:rsidR="00510F13" w:rsidRPr="006446A3" w:rsidTr="00215FE9">
        <w:trPr>
          <w:trHeight w:val="2812"/>
        </w:trPr>
        <w:tc>
          <w:tcPr>
            <w:tcW w:w="4390" w:type="dxa"/>
          </w:tcPr>
          <w:p w:rsidR="00510F13" w:rsidRPr="006446A3" w:rsidRDefault="00AE1A2E">
            <w:pPr>
              <w:ind w:left="0" w:hanging="2"/>
              <w:jc w:val="both"/>
              <w:rPr>
                <w:rFonts w:asciiTheme="majorHAnsi" w:eastAsia="Calibri" w:hAnsiTheme="majorHAnsi" w:cstheme="majorHAnsi"/>
                <w:sz w:val="22"/>
                <w:szCs w:val="22"/>
              </w:rPr>
            </w:pPr>
            <w:r w:rsidRPr="006446A3">
              <w:rPr>
                <w:rFonts w:asciiTheme="majorHAnsi" w:eastAsia="Calibri" w:hAnsiTheme="majorHAnsi" w:cstheme="majorHAnsi"/>
                <w:sz w:val="22"/>
                <w:szCs w:val="22"/>
              </w:rPr>
              <w:t>Tarifa administrativa que no podrá ser superior a los 95 dólares más IVA, ni inferior a los 15 dólares más IVA. (se deja la claridad que la tarifa de administración cobrada por la agencia seleccionada deberá reflejarse en pesos colombianos calculados a partir de la TRM que rija el día de la compra del tiquete; se deja claridad que la retención en la fuente se calculará solamente sobre la base de la tarifa administrativa como ingreso propio y no sobre los ingresos de terceros, la tarifa administrativa se considera no reembolsable)</w:t>
            </w:r>
          </w:p>
        </w:tc>
        <w:tc>
          <w:tcPr>
            <w:tcW w:w="4397" w:type="dxa"/>
          </w:tcPr>
          <w:p w:rsidR="00510F13" w:rsidRPr="006446A3" w:rsidRDefault="00510F13">
            <w:pPr>
              <w:ind w:left="0" w:hanging="2"/>
              <w:jc w:val="both"/>
              <w:rPr>
                <w:rFonts w:asciiTheme="majorHAnsi" w:eastAsia="Calibri" w:hAnsiTheme="majorHAnsi" w:cstheme="majorHAnsi"/>
                <w:sz w:val="22"/>
                <w:szCs w:val="22"/>
              </w:rPr>
            </w:pPr>
          </w:p>
        </w:tc>
      </w:tr>
    </w:tbl>
    <w:p w:rsidR="00486A77" w:rsidRPr="006446A3" w:rsidRDefault="00486A77" w:rsidP="00486A77">
      <w:pPr>
        <w:spacing w:line="240" w:lineRule="auto"/>
        <w:ind w:leftChars="0" w:left="0" w:firstLineChars="0" w:firstLine="0"/>
        <w:jc w:val="both"/>
        <w:rPr>
          <w:rFonts w:asciiTheme="majorHAnsi" w:hAnsiTheme="majorHAnsi" w:cstheme="majorHAnsi"/>
          <w:b/>
          <w:sz w:val="22"/>
          <w:szCs w:val="22"/>
        </w:rPr>
      </w:pPr>
    </w:p>
    <w:p w:rsidR="00A61AE4" w:rsidRPr="006446A3" w:rsidRDefault="00A61AE4" w:rsidP="00486A77">
      <w:pPr>
        <w:spacing w:line="240" w:lineRule="auto"/>
        <w:ind w:leftChars="0" w:left="0" w:firstLineChars="0" w:firstLine="0"/>
        <w:jc w:val="both"/>
        <w:rPr>
          <w:rFonts w:asciiTheme="majorHAnsi" w:hAnsiTheme="majorHAnsi" w:cstheme="majorHAnsi"/>
          <w:b/>
          <w:sz w:val="22"/>
          <w:szCs w:val="22"/>
        </w:rPr>
      </w:pPr>
    </w:p>
    <w:p w:rsidR="00AE1A2E" w:rsidRPr="006446A3" w:rsidRDefault="00AE1A2E" w:rsidP="00486A77">
      <w:pPr>
        <w:spacing w:line="240" w:lineRule="auto"/>
        <w:ind w:leftChars="0" w:left="0" w:firstLineChars="0" w:firstLine="0"/>
        <w:jc w:val="both"/>
        <w:rPr>
          <w:rFonts w:asciiTheme="majorHAnsi" w:hAnsiTheme="majorHAnsi" w:cstheme="majorHAnsi"/>
          <w:b/>
          <w:sz w:val="22"/>
          <w:szCs w:val="22"/>
        </w:rPr>
      </w:pPr>
    </w:p>
    <w:p w:rsidR="00AE1A2E" w:rsidRPr="006446A3" w:rsidRDefault="00AE1A2E" w:rsidP="00486A77">
      <w:pPr>
        <w:spacing w:line="240" w:lineRule="auto"/>
        <w:ind w:leftChars="0" w:left="0" w:firstLineChars="0" w:firstLine="0"/>
        <w:jc w:val="both"/>
        <w:rPr>
          <w:rFonts w:asciiTheme="majorHAnsi" w:hAnsiTheme="majorHAnsi" w:cstheme="majorHAnsi"/>
          <w:b/>
          <w:sz w:val="22"/>
          <w:szCs w:val="22"/>
        </w:rPr>
      </w:pPr>
    </w:p>
    <w:p w:rsidR="00A61AE4" w:rsidRPr="006446A3" w:rsidRDefault="00A61AE4" w:rsidP="00A61AE4">
      <w:pPr>
        <w:spacing w:line="240" w:lineRule="auto"/>
        <w:ind w:left="0" w:hanging="2"/>
        <w:jc w:val="both"/>
        <w:rPr>
          <w:rFonts w:asciiTheme="majorHAnsi" w:hAnsiTheme="majorHAnsi" w:cstheme="majorHAnsi"/>
          <w:b/>
          <w:sz w:val="22"/>
          <w:szCs w:val="22"/>
        </w:rPr>
      </w:pPr>
      <w:bookmarkStart w:id="2" w:name="_Hlk109409259"/>
      <w:r w:rsidRPr="006446A3">
        <w:rPr>
          <w:rFonts w:asciiTheme="majorHAnsi" w:hAnsiTheme="majorHAnsi" w:cstheme="majorHAnsi"/>
          <w:b/>
          <w:sz w:val="22"/>
          <w:szCs w:val="22"/>
        </w:rPr>
        <w:t>BENEFICIO POR VOLUMEN DE VENTAS EN PASAJES AÉREOS (</w:t>
      </w:r>
      <w:r w:rsidR="00D551D5" w:rsidRPr="006446A3">
        <w:rPr>
          <w:rFonts w:asciiTheme="majorHAnsi" w:hAnsiTheme="majorHAnsi" w:cstheme="majorHAnsi"/>
          <w:b/>
          <w:sz w:val="22"/>
          <w:szCs w:val="22"/>
        </w:rPr>
        <w:t>3</w:t>
      </w:r>
      <w:r w:rsidRPr="006446A3">
        <w:rPr>
          <w:rFonts w:asciiTheme="majorHAnsi" w:hAnsiTheme="majorHAnsi" w:cstheme="majorHAnsi"/>
          <w:b/>
          <w:sz w:val="22"/>
          <w:szCs w:val="22"/>
        </w:rPr>
        <w:t xml:space="preserve">00 </w:t>
      </w:r>
      <w:r w:rsidR="00D551D5" w:rsidRPr="006446A3">
        <w:rPr>
          <w:rFonts w:asciiTheme="majorHAnsi" w:hAnsiTheme="majorHAnsi" w:cstheme="majorHAnsi"/>
          <w:b/>
          <w:sz w:val="22"/>
          <w:szCs w:val="22"/>
        </w:rPr>
        <w:t>PUNTOS)</w:t>
      </w:r>
      <w:r w:rsidRPr="006446A3">
        <w:rPr>
          <w:rFonts w:asciiTheme="majorHAnsi" w:hAnsiTheme="majorHAnsi" w:cstheme="majorHAnsi"/>
          <w:b/>
          <w:sz w:val="22"/>
          <w:szCs w:val="22"/>
        </w:rPr>
        <w:t xml:space="preserve"> </w:t>
      </w:r>
    </w:p>
    <w:p w:rsidR="00A61AE4" w:rsidRPr="006446A3" w:rsidRDefault="00A61AE4" w:rsidP="00A61AE4">
      <w:pPr>
        <w:spacing w:line="240" w:lineRule="auto"/>
        <w:ind w:left="0" w:hanging="2"/>
        <w:jc w:val="both"/>
        <w:rPr>
          <w:rFonts w:asciiTheme="majorHAnsi" w:hAnsiTheme="majorHAnsi" w:cstheme="majorHAnsi"/>
          <w:sz w:val="22"/>
          <w:szCs w:val="22"/>
        </w:rPr>
      </w:pPr>
    </w:p>
    <w:tbl>
      <w:tblPr>
        <w:tblStyle w:val="a0"/>
        <w:tblW w:w="87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4397"/>
      </w:tblGrid>
      <w:tr w:rsidR="00815F0D" w:rsidRPr="006446A3" w:rsidTr="006C2102">
        <w:trPr>
          <w:trHeight w:val="420"/>
        </w:trPr>
        <w:tc>
          <w:tcPr>
            <w:tcW w:w="4390" w:type="dxa"/>
            <w:vAlign w:val="center"/>
          </w:tcPr>
          <w:p w:rsidR="00815F0D" w:rsidRPr="006446A3" w:rsidRDefault="00815F0D" w:rsidP="006C2102">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ITEM</w:t>
            </w:r>
          </w:p>
        </w:tc>
        <w:tc>
          <w:tcPr>
            <w:tcW w:w="4397" w:type="dxa"/>
            <w:vAlign w:val="center"/>
          </w:tcPr>
          <w:p w:rsidR="00815F0D" w:rsidRPr="006446A3" w:rsidRDefault="00815F0D" w:rsidP="006C2102">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Porcentaje de descuento </w:t>
            </w:r>
          </w:p>
        </w:tc>
      </w:tr>
      <w:tr w:rsidR="00815F0D" w:rsidRPr="006446A3" w:rsidTr="006C2102">
        <w:trPr>
          <w:trHeight w:val="2812"/>
        </w:trPr>
        <w:tc>
          <w:tcPr>
            <w:tcW w:w="4390" w:type="dxa"/>
          </w:tcPr>
          <w:p w:rsidR="00815F0D" w:rsidRPr="006446A3" w:rsidRDefault="00815F0D" w:rsidP="00B96FAC">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PUNTAJE TOTAL: 300 Puntos Tendrá puntaje el proponente que ofrezca un porcentaje de descuento del valor facturado, representado en pasajes aéreos nacionales o internacionales de clase económica en las rutas que la entidad le solicite, los cuales serán utilizados por los funcionarios de la Universidad Colegio mayor de Cundinamarca, cuando para el ejercicio de sus funciones y obligaciones, sea necesario su desplazamiento al interior o exterior del país.</w:t>
            </w:r>
          </w:p>
        </w:tc>
        <w:tc>
          <w:tcPr>
            <w:tcW w:w="4397" w:type="dxa"/>
          </w:tcPr>
          <w:p w:rsidR="00815F0D" w:rsidRPr="006446A3" w:rsidRDefault="00815F0D" w:rsidP="006C2102">
            <w:pPr>
              <w:ind w:left="0" w:hanging="2"/>
              <w:jc w:val="both"/>
              <w:rPr>
                <w:rFonts w:asciiTheme="majorHAnsi" w:eastAsia="Calibri" w:hAnsiTheme="majorHAnsi" w:cstheme="majorHAnsi"/>
                <w:sz w:val="22"/>
                <w:szCs w:val="22"/>
              </w:rPr>
            </w:pPr>
          </w:p>
        </w:tc>
      </w:tr>
    </w:tbl>
    <w:p w:rsidR="00A61AE4" w:rsidRPr="006446A3" w:rsidRDefault="00A61AE4" w:rsidP="00486A77">
      <w:pPr>
        <w:spacing w:line="240" w:lineRule="auto"/>
        <w:ind w:leftChars="0" w:left="0" w:firstLineChars="0" w:firstLine="0"/>
        <w:jc w:val="both"/>
        <w:rPr>
          <w:rFonts w:asciiTheme="majorHAnsi" w:hAnsiTheme="majorHAnsi" w:cstheme="majorHAnsi"/>
          <w:b/>
          <w:sz w:val="22"/>
          <w:szCs w:val="22"/>
        </w:rPr>
      </w:pPr>
    </w:p>
    <w:bookmarkEnd w:id="2"/>
    <w:p w:rsidR="00AE1A2E" w:rsidRPr="006446A3" w:rsidRDefault="00AE1A2E" w:rsidP="00486A77">
      <w:pPr>
        <w:spacing w:line="240" w:lineRule="auto"/>
        <w:ind w:left="0" w:hanging="2"/>
        <w:jc w:val="both"/>
        <w:rPr>
          <w:rFonts w:asciiTheme="majorHAnsi" w:hAnsiTheme="majorHAnsi" w:cstheme="majorHAnsi"/>
          <w:b/>
          <w:sz w:val="22"/>
          <w:szCs w:val="22"/>
        </w:rPr>
      </w:pPr>
    </w:p>
    <w:p w:rsidR="00486A77" w:rsidRPr="006446A3" w:rsidRDefault="00486A77" w:rsidP="00486A77">
      <w:pPr>
        <w:spacing w:line="240" w:lineRule="auto"/>
        <w:ind w:left="0" w:hanging="2"/>
        <w:jc w:val="both"/>
        <w:rPr>
          <w:rFonts w:asciiTheme="majorHAnsi" w:hAnsiTheme="majorHAnsi" w:cstheme="majorHAnsi"/>
          <w:b/>
          <w:sz w:val="22"/>
          <w:szCs w:val="22"/>
        </w:rPr>
      </w:pPr>
      <w:r w:rsidRPr="006446A3">
        <w:rPr>
          <w:rFonts w:asciiTheme="majorHAnsi" w:hAnsiTheme="majorHAnsi" w:cstheme="majorHAnsi"/>
          <w:b/>
          <w:sz w:val="22"/>
          <w:szCs w:val="22"/>
        </w:rPr>
        <w:t>APOYO A LA INDUSTRIA NACIONAL (100 puntos)</w:t>
      </w:r>
    </w:p>
    <w:p w:rsidR="00486A77" w:rsidRPr="006446A3" w:rsidRDefault="00486A77" w:rsidP="00486A77">
      <w:pPr>
        <w:spacing w:line="240" w:lineRule="auto"/>
        <w:ind w:left="0" w:hanging="2"/>
        <w:jc w:val="both"/>
        <w:rPr>
          <w:rFonts w:asciiTheme="majorHAnsi" w:hAnsiTheme="majorHAnsi" w:cstheme="majorHAnsi"/>
          <w:sz w:val="22"/>
          <w:szCs w:val="22"/>
        </w:rPr>
      </w:pPr>
    </w:p>
    <w:p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El proponente deberá diligenciar y allegar junto con la propuesta el Formato “APOYO A LA INDUSTRIA NACIONAL (LEY 816 DE 2003)”, establecido en el presente numeral, el cual deberá estar debidamente suscrito por el respectivo representante legal o apoderado debidamente facultado. </w:t>
      </w:r>
    </w:p>
    <w:p w:rsidR="00A61AE4" w:rsidRPr="006446A3" w:rsidRDefault="00A61AE4" w:rsidP="00486A77">
      <w:pPr>
        <w:spacing w:line="240" w:lineRule="auto"/>
        <w:ind w:left="0" w:hanging="2"/>
        <w:jc w:val="both"/>
        <w:rPr>
          <w:rFonts w:asciiTheme="majorHAnsi" w:hAnsiTheme="majorHAnsi" w:cstheme="majorHAnsi"/>
          <w:sz w:val="22"/>
          <w:szCs w:val="22"/>
        </w:rPr>
      </w:pPr>
    </w:p>
    <w:p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En caso de ser consorcios y/o uniones temporales el proponente deberá diligenciar el formato individualmente por cada uno de sus miembros. </w:t>
      </w:r>
    </w:p>
    <w:p w:rsidR="00A61AE4" w:rsidRPr="006446A3" w:rsidRDefault="00A61AE4" w:rsidP="00486A77">
      <w:pPr>
        <w:spacing w:line="240" w:lineRule="auto"/>
        <w:ind w:left="0" w:hanging="2"/>
        <w:jc w:val="both"/>
        <w:rPr>
          <w:rFonts w:asciiTheme="majorHAnsi" w:hAnsiTheme="majorHAnsi" w:cstheme="majorHAnsi"/>
          <w:sz w:val="22"/>
          <w:szCs w:val="22"/>
        </w:rPr>
      </w:pPr>
    </w:p>
    <w:p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El proponente que omita el ofrecimiento de apoyo a la ley 816 de 2003 no obtendrá puntaje. </w:t>
      </w:r>
    </w:p>
    <w:p w:rsidR="00486A77" w:rsidRPr="006446A3" w:rsidRDefault="00486A77" w:rsidP="00486A77">
      <w:pPr>
        <w:spacing w:line="240" w:lineRule="auto"/>
        <w:ind w:left="0" w:hanging="2"/>
        <w:jc w:val="both"/>
        <w:rPr>
          <w:rFonts w:asciiTheme="majorHAnsi" w:hAnsiTheme="majorHAnsi" w:cstheme="majorHAnsi"/>
          <w:sz w:val="22"/>
          <w:szCs w:val="22"/>
        </w:rPr>
      </w:pPr>
    </w:p>
    <w:p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De acuerdo con el parágrafo del Artículo 1 de la Ley 816 de 2003, modificado por el artículo 51 del Decreto Ley 019 de 2012: “Se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w:t>
      </w:r>
    </w:p>
    <w:p w:rsidR="00486A77" w:rsidRPr="006446A3" w:rsidRDefault="00486A77" w:rsidP="00486A77">
      <w:pPr>
        <w:spacing w:line="240" w:lineRule="auto"/>
        <w:ind w:left="0" w:hanging="2"/>
        <w:jc w:val="both"/>
        <w:rPr>
          <w:rFonts w:asciiTheme="majorHAnsi" w:hAnsiTheme="majorHAnsi" w:cstheme="majorHAnsi"/>
          <w:sz w:val="22"/>
          <w:szCs w:val="22"/>
        </w:rPr>
      </w:pPr>
    </w:p>
    <w:p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La acreditación o demostración de tal circunstancia se hará en los términos que señale el reglamento”. </w:t>
      </w:r>
    </w:p>
    <w:p w:rsidR="00486A77" w:rsidRPr="006446A3" w:rsidRDefault="00486A77" w:rsidP="00486A77">
      <w:pPr>
        <w:spacing w:line="240" w:lineRule="auto"/>
        <w:ind w:left="0" w:hanging="2"/>
        <w:jc w:val="both"/>
        <w:rPr>
          <w:rFonts w:asciiTheme="majorHAnsi" w:hAnsiTheme="majorHAnsi" w:cstheme="majorHAnsi"/>
          <w:sz w:val="22"/>
          <w:szCs w:val="22"/>
        </w:rPr>
      </w:pPr>
    </w:p>
    <w:p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De acuerdo con lo declarado por el oferente, se otorgarán los siguientes puntajes:</w:t>
      </w:r>
    </w:p>
    <w:p w:rsidR="00486A77" w:rsidRPr="006446A3" w:rsidRDefault="00486A77" w:rsidP="00486A77">
      <w:pPr>
        <w:spacing w:line="240" w:lineRule="auto"/>
        <w:ind w:left="0" w:hanging="2"/>
        <w:jc w:val="both"/>
        <w:rPr>
          <w:rFonts w:asciiTheme="majorHAnsi" w:hAnsiTheme="majorHAnsi" w:cstheme="majorHAnsi"/>
          <w:sz w:val="22"/>
          <w:szCs w:val="22"/>
        </w:rPr>
      </w:pP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4"/>
        <w:gridCol w:w="4414"/>
      </w:tblGrid>
      <w:tr w:rsidR="00486A77" w:rsidRPr="006446A3" w:rsidTr="00A61AE4">
        <w:trPr>
          <w:tblHeader/>
        </w:trPr>
        <w:tc>
          <w:tcPr>
            <w:tcW w:w="4414" w:type="dxa"/>
          </w:tcPr>
          <w:p w:rsidR="00486A77" w:rsidRPr="006446A3" w:rsidRDefault="00486A77" w:rsidP="00790BA1">
            <w:pPr>
              <w:ind w:left="0" w:hanging="2"/>
              <w:jc w:val="center"/>
              <w:rPr>
                <w:rFonts w:asciiTheme="majorHAnsi" w:hAnsiTheme="majorHAnsi" w:cstheme="majorHAnsi"/>
                <w:b/>
                <w:sz w:val="22"/>
                <w:szCs w:val="22"/>
              </w:rPr>
            </w:pPr>
            <w:r w:rsidRPr="006446A3">
              <w:rPr>
                <w:rFonts w:asciiTheme="majorHAnsi" w:hAnsiTheme="majorHAnsi" w:cstheme="majorHAnsi"/>
                <w:b/>
                <w:sz w:val="22"/>
                <w:szCs w:val="22"/>
              </w:rPr>
              <w:lastRenderedPageBreak/>
              <w:t>FACTOR</w:t>
            </w:r>
          </w:p>
        </w:tc>
        <w:tc>
          <w:tcPr>
            <w:tcW w:w="4414" w:type="dxa"/>
          </w:tcPr>
          <w:p w:rsidR="00486A77" w:rsidRPr="006446A3" w:rsidRDefault="00486A77" w:rsidP="00790BA1">
            <w:pPr>
              <w:ind w:left="0" w:hanging="2"/>
              <w:jc w:val="center"/>
              <w:rPr>
                <w:rFonts w:asciiTheme="majorHAnsi" w:hAnsiTheme="majorHAnsi" w:cstheme="majorHAnsi"/>
                <w:b/>
                <w:sz w:val="22"/>
                <w:szCs w:val="22"/>
              </w:rPr>
            </w:pPr>
            <w:r w:rsidRPr="006446A3">
              <w:rPr>
                <w:rFonts w:asciiTheme="majorHAnsi" w:hAnsiTheme="majorHAnsi" w:cstheme="majorHAnsi"/>
                <w:b/>
                <w:sz w:val="22"/>
                <w:szCs w:val="22"/>
              </w:rPr>
              <w:t>PUNTAJE</w:t>
            </w:r>
          </w:p>
        </w:tc>
      </w:tr>
      <w:tr w:rsidR="00486A77" w:rsidRPr="006446A3" w:rsidTr="00790BA1">
        <w:tc>
          <w:tcPr>
            <w:tcW w:w="4414" w:type="dxa"/>
          </w:tcPr>
          <w:p w:rsidR="00486A77" w:rsidRPr="006446A3" w:rsidRDefault="00486A77" w:rsidP="00790BA1">
            <w:pPr>
              <w:ind w:left="0" w:hanging="2"/>
              <w:jc w:val="both"/>
              <w:rPr>
                <w:rFonts w:asciiTheme="majorHAnsi" w:hAnsiTheme="majorHAnsi" w:cstheme="majorHAnsi"/>
                <w:sz w:val="22"/>
                <w:szCs w:val="22"/>
              </w:rPr>
            </w:pPr>
            <w:r w:rsidRPr="006446A3">
              <w:rPr>
                <w:rFonts w:asciiTheme="majorHAnsi" w:hAnsiTheme="majorHAnsi" w:cstheme="majorHAnsi"/>
                <w:sz w:val="22"/>
                <w:szCs w:val="22"/>
              </w:rPr>
              <w:t>Proponente certifique que utiliza en un 100% personal nacional para la prestación del servicio de la agencia de viajes dentro de los servicios ofrecidos en el suministro de pasajes aéreos</w:t>
            </w:r>
          </w:p>
        </w:tc>
        <w:tc>
          <w:tcPr>
            <w:tcW w:w="4414" w:type="dxa"/>
          </w:tcPr>
          <w:p w:rsidR="00486A77" w:rsidRPr="006446A3" w:rsidRDefault="00486A77" w:rsidP="00790BA1">
            <w:pPr>
              <w:ind w:left="0" w:hanging="2"/>
              <w:jc w:val="center"/>
              <w:rPr>
                <w:rFonts w:asciiTheme="majorHAnsi" w:hAnsiTheme="majorHAnsi" w:cstheme="majorHAnsi"/>
                <w:sz w:val="22"/>
                <w:szCs w:val="22"/>
              </w:rPr>
            </w:pPr>
            <w:r w:rsidRPr="006446A3">
              <w:rPr>
                <w:rFonts w:asciiTheme="majorHAnsi" w:hAnsiTheme="majorHAnsi" w:cstheme="majorHAnsi"/>
                <w:sz w:val="22"/>
                <w:szCs w:val="22"/>
              </w:rPr>
              <w:t>100</w:t>
            </w:r>
          </w:p>
        </w:tc>
      </w:tr>
      <w:tr w:rsidR="00486A77" w:rsidRPr="006446A3" w:rsidTr="00790BA1">
        <w:tc>
          <w:tcPr>
            <w:tcW w:w="4414" w:type="dxa"/>
          </w:tcPr>
          <w:p w:rsidR="00486A77" w:rsidRPr="006446A3" w:rsidRDefault="00486A77" w:rsidP="00790BA1">
            <w:pPr>
              <w:ind w:left="0" w:hanging="2"/>
              <w:jc w:val="both"/>
              <w:rPr>
                <w:rFonts w:asciiTheme="majorHAnsi" w:hAnsiTheme="majorHAnsi" w:cstheme="majorHAnsi"/>
                <w:sz w:val="22"/>
                <w:szCs w:val="22"/>
              </w:rPr>
            </w:pPr>
            <w:r w:rsidRPr="006446A3">
              <w:rPr>
                <w:rFonts w:asciiTheme="majorHAnsi" w:hAnsiTheme="majorHAnsi" w:cstheme="majorHAnsi"/>
                <w:sz w:val="22"/>
                <w:szCs w:val="22"/>
              </w:rPr>
              <w:t>Cuando el proponente certifique personal nacional entre el 50% y el 99.99% para la prestación del servicio de la agencia de viajes dentro de los servicios ofrecidos en el suministro de pasajes aéreos.</w:t>
            </w:r>
          </w:p>
        </w:tc>
        <w:tc>
          <w:tcPr>
            <w:tcW w:w="4414" w:type="dxa"/>
          </w:tcPr>
          <w:p w:rsidR="00486A77" w:rsidRPr="006446A3" w:rsidRDefault="00486A77" w:rsidP="00790BA1">
            <w:pPr>
              <w:ind w:left="0" w:hanging="2"/>
              <w:jc w:val="center"/>
              <w:rPr>
                <w:rFonts w:asciiTheme="majorHAnsi" w:hAnsiTheme="majorHAnsi" w:cstheme="majorHAnsi"/>
                <w:sz w:val="22"/>
                <w:szCs w:val="22"/>
              </w:rPr>
            </w:pPr>
            <w:r w:rsidRPr="006446A3">
              <w:rPr>
                <w:rFonts w:asciiTheme="majorHAnsi" w:hAnsiTheme="majorHAnsi" w:cstheme="majorHAnsi"/>
                <w:sz w:val="22"/>
                <w:szCs w:val="22"/>
              </w:rPr>
              <w:t>50</w:t>
            </w:r>
          </w:p>
        </w:tc>
      </w:tr>
    </w:tbl>
    <w:p w:rsidR="00304702" w:rsidRPr="006446A3" w:rsidRDefault="00304702" w:rsidP="00304702">
      <w:pPr>
        <w:ind w:leftChars="0" w:left="0" w:firstLineChars="0" w:firstLine="0"/>
        <w:jc w:val="both"/>
        <w:rPr>
          <w:rFonts w:asciiTheme="majorHAnsi" w:eastAsia="Calibri" w:hAnsiTheme="majorHAnsi" w:cstheme="majorHAnsi"/>
          <w:sz w:val="22"/>
          <w:szCs w:val="22"/>
        </w:rPr>
      </w:pPr>
    </w:p>
    <w:p w:rsidR="00510F13" w:rsidRPr="006446A3" w:rsidRDefault="00BD3E37">
      <w:pPr>
        <w:numPr>
          <w:ilvl w:val="0"/>
          <w:numId w:val="1"/>
        </w:numPr>
        <w:ind w:left="0" w:hanging="2"/>
        <w:jc w:val="both"/>
        <w:rPr>
          <w:rFonts w:asciiTheme="majorHAnsi" w:hAnsiTheme="majorHAnsi" w:cstheme="majorHAnsi"/>
          <w:sz w:val="22"/>
          <w:szCs w:val="22"/>
        </w:rPr>
      </w:pPr>
      <w:r w:rsidRPr="006446A3">
        <w:rPr>
          <w:rFonts w:asciiTheme="majorHAnsi" w:eastAsia="Calibri" w:hAnsiTheme="majorHAnsi" w:cstheme="majorHAnsi"/>
          <w:sz w:val="22"/>
          <w:szCs w:val="22"/>
        </w:rPr>
        <w:t xml:space="preserve">Realizar las reservas, expedir y suministrar los tiquetes de conformidad con las solicitudes de la UNIVERSIDAD durante </w:t>
      </w:r>
      <w:r w:rsidR="00B96FAC" w:rsidRPr="006446A3">
        <w:rPr>
          <w:rFonts w:asciiTheme="majorHAnsi" w:eastAsia="Calibri" w:hAnsiTheme="majorHAnsi" w:cstheme="majorHAnsi"/>
          <w:sz w:val="22"/>
          <w:szCs w:val="22"/>
        </w:rPr>
        <w:t xml:space="preserve">el horario de 7:00 </w:t>
      </w:r>
      <w:proofErr w:type="gramStart"/>
      <w:r w:rsidR="00B96FAC" w:rsidRPr="006446A3">
        <w:rPr>
          <w:rFonts w:asciiTheme="majorHAnsi" w:eastAsia="Calibri" w:hAnsiTheme="majorHAnsi" w:cstheme="majorHAnsi"/>
          <w:sz w:val="22"/>
          <w:szCs w:val="22"/>
        </w:rPr>
        <w:t>AM  a</w:t>
      </w:r>
      <w:proofErr w:type="gramEnd"/>
      <w:r w:rsidR="00B96FAC" w:rsidRPr="006446A3">
        <w:rPr>
          <w:rFonts w:asciiTheme="majorHAnsi" w:eastAsia="Calibri" w:hAnsiTheme="majorHAnsi" w:cstheme="majorHAnsi"/>
          <w:sz w:val="22"/>
          <w:szCs w:val="22"/>
        </w:rPr>
        <w:t xml:space="preserve"> 6:00</w:t>
      </w:r>
      <w:r w:rsidRPr="006446A3">
        <w:rPr>
          <w:rFonts w:asciiTheme="majorHAnsi" w:eastAsia="Calibri" w:hAnsiTheme="majorHAnsi" w:cstheme="majorHAnsi"/>
          <w:sz w:val="22"/>
          <w:szCs w:val="22"/>
        </w:rPr>
        <w:t>, 7 días a la semana.</w:t>
      </w:r>
    </w:p>
    <w:p w:rsidR="008657AC" w:rsidRPr="006446A3" w:rsidRDefault="008657AC" w:rsidP="008657AC">
      <w:pPr>
        <w:ind w:leftChars="0" w:left="0" w:firstLineChars="0" w:hanging="2"/>
        <w:jc w:val="both"/>
        <w:rPr>
          <w:rFonts w:asciiTheme="majorHAnsi" w:hAnsiTheme="majorHAnsi" w:cstheme="majorHAnsi"/>
          <w:b/>
          <w:bCs/>
          <w:iCs/>
          <w:color w:val="000000"/>
          <w:position w:val="0"/>
          <w:sz w:val="22"/>
          <w:szCs w:val="22"/>
          <w:lang w:eastAsia="en-US"/>
        </w:rPr>
      </w:pPr>
      <w:r w:rsidRPr="006446A3">
        <w:rPr>
          <w:rFonts w:asciiTheme="majorHAnsi" w:hAnsiTheme="majorHAnsi" w:cstheme="majorHAnsi"/>
          <w:bCs/>
          <w:iCs/>
          <w:color w:val="000000"/>
          <w:sz w:val="22"/>
          <w:szCs w:val="22"/>
        </w:rPr>
        <w:t>-</w:t>
      </w:r>
      <w:r w:rsidR="00042164" w:rsidRPr="006446A3">
        <w:rPr>
          <w:rFonts w:asciiTheme="majorHAnsi" w:hAnsiTheme="majorHAnsi" w:cstheme="majorHAnsi"/>
          <w:bCs/>
          <w:iCs/>
          <w:color w:val="000000"/>
          <w:sz w:val="22"/>
          <w:szCs w:val="22"/>
        </w:rPr>
        <w:tab/>
      </w:r>
      <w:r w:rsidRPr="006446A3">
        <w:rPr>
          <w:rFonts w:asciiTheme="majorHAnsi" w:hAnsiTheme="majorHAnsi" w:cstheme="majorHAnsi"/>
          <w:bCs/>
          <w:iCs/>
          <w:color w:val="000000"/>
          <w:sz w:val="22"/>
          <w:szCs w:val="22"/>
        </w:rPr>
        <w:t>Ofrecer tres opciones de tarifas de vuelo distintas siempre que las condiciones de mercado así lo permitan, cada opción propuesta deberá contener el detalle de condiciones de vuelo y/o tarifa, en lo relativo a equipaje, cancelaciones, devoluciones o cambios de nombre del viajero, así como indicar el tiempo de validez de la oferta, cuando en las condiciones de oferta, lo señale la aerolínea</w:t>
      </w:r>
      <w:r w:rsidRPr="006446A3">
        <w:rPr>
          <w:rFonts w:asciiTheme="majorHAnsi" w:hAnsiTheme="majorHAnsi" w:cstheme="majorHAnsi"/>
          <w:b/>
          <w:bCs/>
          <w:iCs/>
          <w:color w:val="000000"/>
          <w:sz w:val="22"/>
          <w:szCs w:val="22"/>
        </w:rPr>
        <w:t>.</w:t>
      </w:r>
    </w:p>
    <w:p w:rsidR="00D551D5" w:rsidRPr="006446A3" w:rsidRDefault="00BD3E37">
      <w:pPr>
        <w:numPr>
          <w:ilvl w:val="0"/>
          <w:numId w:val="1"/>
        </w:numPr>
        <w:ind w:left="0" w:hanging="2"/>
        <w:jc w:val="both"/>
        <w:rPr>
          <w:rFonts w:asciiTheme="majorHAnsi" w:hAnsiTheme="majorHAnsi" w:cstheme="majorHAnsi"/>
          <w:sz w:val="22"/>
          <w:szCs w:val="22"/>
        </w:rPr>
      </w:pPr>
      <w:r w:rsidRPr="006446A3">
        <w:rPr>
          <w:rFonts w:asciiTheme="majorHAnsi" w:eastAsia="Calibri" w:hAnsiTheme="majorHAnsi" w:cstheme="majorHAnsi"/>
          <w:sz w:val="22"/>
          <w:szCs w:val="22"/>
        </w:rPr>
        <w:t xml:space="preserve">Suministrar los tiquetes de acuerdo con las autorizaciones efectuadas por el supervisor del contrato y acordes a los ofrecimientos realizados en la cotización </w:t>
      </w:r>
    </w:p>
    <w:p w:rsidR="00510F13" w:rsidRPr="006446A3" w:rsidRDefault="00BD3E37">
      <w:pPr>
        <w:numPr>
          <w:ilvl w:val="0"/>
          <w:numId w:val="1"/>
        </w:numPr>
        <w:ind w:left="0" w:hanging="2"/>
        <w:jc w:val="both"/>
        <w:rPr>
          <w:rFonts w:asciiTheme="majorHAnsi" w:hAnsiTheme="majorHAnsi" w:cstheme="majorHAnsi"/>
          <w:sz w:val="22"/>
          <w:szCs w:val="22"/>
        </w:rPr>
      </w:pPr>
      <w:r w:rsidRPr="006446A3">
        <w:rPr>
          <w:rFonts w:asciiTheme="majorHAnsi" w:eastAsia="Calibri" w:hAnsiTheme="majorHAnsi" w:cstheme="majorHAnsi"/>
          <w:sz w:val="22"/>
          <w:szCs w:val="22"/>
        </w:rPr>
        <w:t>Garantizar el suministro de tiquetes aéreos a los destinos que requiera la UNIVERSIDAD</w:t>
      </w:r>
    </w:p>
    <w:p w:rsidR="00510F13" w:rsidRPr="006446A3" w:rsidRDefault="00BD3E37">
      <w:pPr>
        <w:numPr>
          <w:ilvl w:val="0"/>
          <w:numId w:val="1"/>
        </w:numPr>
        <w:ind w:left="0" w:hanging="2"/>
        <w:jc w:val="both"/>
        <w:rPr>
          <w:rFonts w:asciiTheme="majorHAnsi" w:hAnsiTheme="majorHAnsi" w:cstheme="majorHAnsi"/>
          <w:sz w:val="22"/>
          <w:szCs w:val="22"/>
        </w:rPr>
      </w:pPr>
      <w:r w:rsidRPr="006446A3">
        <w:rPr>
          <w:rFonts w:asciiTheme="majorHAnsi" w:eastAsia="Calibri" w:hAnsiTheme="majorHAnsi" w:cstheme="majorHAnsi"/>
          <w:sz w:val="22"/>
          <w:szCs w:val="22"/>
        </w:rPr>
        <w:t xml:space="preserve">Suministrar la tarjeta de asistencia médica a los pasajeros que harán uso del servicio, dando cubrimiento al riesgo que pueda suscitarse, a quien requiera de este servicio en el exterior. </w:t>
      </w:r>
    </w:p>
    <w:p w:rsidR="00510F13" w:rsidRPr="006446A3" w:rsidRDefault="00BD3E37">
      <w:pPr>
        <w:numPr>
          <w:ilvl w:val="0"/>
          <w:numId w:val="1"/>
        </w:numPr>
        <w:ind w:left="0" w:hanging="2"/>
        <w:jc w:val="both"/>
        <w:rPr>
          <w:rFonts w:asciiTheme="majorHAnsi" w:hAnsiTheme="majorHAnsi" w:cstheme="majorHAnsi"/>
          <w:sz w:val="22"/>
          <w:szCs w:val="22"/>
        </w:rPr>
      </w:pPr>
      <w:r w:rsidRPr="006446A3">
        <w:rPr>
          <w:rFonts w:asciiTheme="majorHAnsi" w:eastAsia="Calibri" w:hAnsiTheme="majorHAnsi" w:cstheme="majorHAnsi"/>
          <w:sz w:val="22"/>
          <w:szCs w:val="22"/>
        </w:rPr>
        <w:t>El contratista se obliga a garantizar a la UNIVERSIDAD que los tiquetes emitidos y no utilizados podrán ser objeto de revisión o servirán como parte de pago para otro tiquete, siempre que las condiciones de la aerolínea y las condiciones de la tarifa lo permitan.</w:t>
      </w:r>
    </w:p>
    <w:p w:rsidR="00510F13" w:rsidRPr="006446A3" w:rsidRDefault="00BD3E37" w:rsidP="00486A77">
      <w:pPr>
        <w:numPr>
          <w:ilvl w:val="0"/>
          <w:numId w:val="1"/>
        </w:numPr>
        <w:ind w:left="0" w:hanging="2"/>
        <w:jc w:val="both"/>
        <w:rPr>
          <w:rFonts w:asciiTheme="majorHAnsi" w:hAnsiTheme="majorHAnsi" w:cstheme="majorHAnsi"/>
          <w:sz w:val="22"/>
          <w:szCs w:val="22"/>
        </w:rPr>
      </w:pPr>
      <w:r w:rsidRPr="006446A3">
        <w:rPr>
          <w:rFonts w:asciiTheme="majorHAnsi" w:eastAsia="Calibri" w:hAnsiTheme="majorHAnsi" w:cstheme="majorHAnsi"/>
          <w:sz w:val="22"/>
          <w:szCs w:val="22"/>
        </w:rPr>
        <w:t>Si los cambios en tiquetes generan el cobro de nuevas tarifas administrativas y/o Recargos los mismos deben cobrados con factura independiente.</w:t>
      </w:r>
    </w:p>
    <w:p w:rsidR="00510F13" w:rsidRPr="006446A3" w:rsidRDefault="00510F13">
      <w:pPr>
        <w:ind w:left="0" w:hanging="2"/>
        <w:jc w:val="both"/>
        <w:rPr>
          <w:rFonts w:asciiTheme="majorHAnsi" w:eastAsia="Trebuchet MS" w:hAnsiTheme="majorHAnsi" w:cstheme="majorHAnsi"/>
          <w:sz w:val="22"/>
          <w:szCs w:val="22"/>
        </w:rPr>
      </w:pPr>
    </w:p>
    <w:p w:rsidR="00510F13" w:rsidRPr="006446A3" w:rsidRDefault="00BD3E37">
      <w:pPr>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Atentamente,</w:t>
      </w:r>
    </w:p>
    <w:p w:rsidR="00510F13" w:rsidRPr="006446A3" w:rsidRDefault="00510F13">
      <w:pPr>
        <w:ind w:left="0" w:hanging="2"/>
        <w:rPr>
          <w:rFonts w:asciiTheme="majorHAnsi" w:eastAsia="Calibri" w:hAnsiTheme="majorHAnsi" w:cstheme="majorHAnsi"/>
          <w:sz w:val="22"/>
          <w:szCs w:val="22"/>
        </w:rPr>
      </w:pPr>
    </w:p>
    <w:p w:rsidR="00215FE9" w:rsidRPr="006446A3" w:rsidRDefault="00215FE9">
      <w:pPr>
        <w:ind w:left="0" w:hanging="2"/>
        <w:rPr>
          <w:rFonts w:asciiTheme="majorHAnsi" w:eastAsia="Calibri" w:hAnsiTheme="majorHAnsi" w:cstheme="majorHAnsi"/>
          <w:sz w:val="22"/>
          <w:szCs w:val="22"/>
        </w:rPr>
      </w:pP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FIRMA DEL REPRESENTANTE LEGAL:</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NOMBRE DEL REPRESENTANTE LEGAL: </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CEDULA DE CIUDADANA No.:                                       EXPEDIDA EN:</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RAZÓN SOCIAL:</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DIRECCIÓN:</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CORREO </w:t>
      </w:r>
      <w:r w:rsidR="00304702" w:rsidRPr="006446A3">
        <w:rPr>
          <w:rFonts w:asciiTheme="majorHAnsi" w:eastAsia="Calibri" w:hAnsiTheme="majorHAnsi" w:cstheme="majorHAnsi"/>
          <w:sz w:val="22"/>
          <w:szCs w:val="22"/>
        </w:rPr>
        <w:t>ELECTRÓNICO</w:t>
      </w:r>
      <w:r w:rsidRPr="006446A3">
        <w:rPr>
          <w:rFonts w:asciiTheme="majorHAnsi" w:eastAsia="Calibri" w:hAnsiTheme="majorHAnsi" w:cstheme="majorHAnsi"/>
          <w:sz w:val="22"/>
          <w:szCs w:val="22"/>
        </w:rPr>
        <w:t>:</w:t>
      </w:r>
    </w:p>
    <w:p w:rsidR="00510F13" w:rsidRPr="00215FE9"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NIT:</w:t>
      </w:r>
    </w:p>
    <w:sectPr w:rsidR="00510F13" w:rsidRPr="00215FE9">
      <w:headerReference w:type="even" r:id="rId7"/>
      <w:headerReference w:type="default" r:id="rId8"/>
      <w:footerReference w:type="even" r:id="rId9"/>
      <w:footerReference w:type="default" r:id="rId10"/>
      <w:headerReference w:type="first" r:id="rId11"/>
      <w:footerReference w:type="first" r:id="rId12"/>
      <w:pgSz w:w="12240" w:h="15840"/>
      <w:pgMar w:top="1418" w:right="1610" w:bottom="1418" w:left="1985" w:header="45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3D08" w:rsidRDefault="000B3D08">
      <w:pPr>
        <w:spacing w:line="240" w:lineRule="auto"/>
        <w:ind w:left="0" w:hanging="2"/>
      </w:pPr>
      <w:r>
        <w:separator/>
      </w:r>
    </w:p>
  </w:endnote>
  <w:endnote w:type="continuationSeparator" w:id="0">
    <w:p w:rsidR="000B3D08" w:rsidRDefault="000B3D0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Georgia" w:eastAsia="Georgia" w:hAnsi="Georgia" w:cs="Georgia"/>
        <w:color w:val="000000"/>
        <w:sz w:val="18"/>
        <w:szCs w:val="18"/>
      </w:rPr>
    </w:pPr>
    <w:r>
      <w:rPr>
        <w:rFonts w:ascii="Georgia" w:eastAsia="Georgia" w:hAnsi="Georgia" w:cs="Georgia"/>
        <w:color w:val="000000"/>
        <w:sz w:val="18"/>
        <w:szCs w:val="18"/>
      </w:rPr>
      <w:t xml:space="preserve">Calle 28 No. 6-02 Conmutador </w:t>
    </w:r>
    <w:proofErr w:type="gramStart"/>
    <w:r>
      <w:rPr>
        <w:rFonts w:ascii="Georgia" w:eastAsia="Georgia" w:hAnsi="Georgia" w:cs="Georgia"/>
        <w:color w:val="000000"/>
        <w:sz w:val="18"/>
        <w:szCs w:val="18"/>
      </w:rPr>
      <w:t>2418800  Ext.</w:t>
    </w:r>
    <w:proofErr w:type="gramEnd"/>
    <w:r>
      <w:rPr>
        <w:rFonts w:ascii="Georgia" w:eastAsia="Georgia" w:hAnsi="Georgia" w:cs="Georgia"/>
        <w:color w:val="000000"/>
        <w:sz w:val="18"/>
        <w:szCs w:val="18"/>
      </w:rPr>
      <w:t xml:space="preserve"> 120.  Bogotá, D.C.</w:t>
    </w:r>
    <w:r>
      <w:rPr>
        <w:noProof/>
        <w:lang w:val="es-CO" w:eastAsia="es-CO"/>
      </w:rPr>
      <mc:AlternateContent>
        <mc:Choice Requires="wps">
          <w:drawing>
            <wp:anchor distT="0" distB="0" distL="114300" distR="114300" simplePos="0" relativeHeight="251658240" behindDoc="0" locked="0" layoutInCell="1" hidden="0" allowOverlap="1">
              <wp:simplePos x="0" y="0"/>
              <wp:positionH relativeFrom="margin">
                <wp:posOffset>-343534</wp:posOffset>
              </wp:positionH>
              <wp:positionV relativeFrom="paragraph">
                <wp:posOffset>-12064</wp:posOffset>
              </wp:positionV>
              <wp:extent cx="6012180" cy="0"/>
              <wp:effectExtent l="0" t="4763" r="0" b="4763"/>
              <wp:wrapNone/>
              <wp:docPr id="1026" name="Conector recto 1026"/>
              <wp:cNvGraphicFramePr/>
              <a:graphic xmlns:a="http://schemas.openxmlformats.org/drawingml/2006/main">
                <a:graphicData uri="http://schemas.microsoft.com/office/word/2010/wordprocessingShape">
                  <wps:wsp>
                    <wps:cNvCnPr/>
                    <wps:spPr>
                      <a:xfrm>
                        <a:off x="0" y="0"/>
                        <a:ext cx="6012180" cy="0"/>
                      </a:xfrm>
                      <a:prstGeom prst="line">
                        <a:avLst/>
                      </a:prstGeom>
                      <a:noFill/>
                      <a:ln w="9525" cap="flat" cmpd="sng" algn="ctr">
                        <a:solidFill>
                          <a:srgbClr val="000000"/>
                        </a:solidFill>
                        <a:miter lim="800000"/>
                        <a:headEnd/>
                        <a:tailEnd/>
                      </a:ln>
                    </wps:spPr>
                    <wps:bodyPr/>
                  </wps:wsp>
                </a:graphicData>
              </a:graphic>
            </wp:anchor>
          </w:drawing>
        </mc:Choice>
        <mc:Fallback>
          <w:pict>
            <v:line w14:anchorId="55EC4323" id="Conector recto 1026" o:spid="_x0000_s1026"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from="-27.05pt,-.95pt" to="446.3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q9vwEAAGcDAAAOAAAAZHJzL2Uyb0RvYy54bWysU0tv2zAMvg/ofxB0X+wYaJAZcXpI112G&#10;NcC2H8DoYQvQC5QaJ/++lJKme9yG+SBRfHwkP9Kbh5Oz7KgwmeAHvly0nCkvgjR+HPjPH08f15yl&#10;DF6CDV4N/KwSf9jefdjMsVddmIKVChmB+NTPceBTzrFvmiQm5SAtQlSejDqgg0xPHBuJMBO6s03X&#10;tqtmDigjBqFSIu3jxci3FV9rJfKz1kllZgdOteV6Yj0P5Wy2G+hHhDgZcS0D/qEKB8ZT0hvUI2Rg&#10;L2j+gnJGYEhB54UIrglaG6FqD9TNsv2jm+8TRFV7IXJSvNGU/h+s+HbcIzOSZtd2K848OJrSjmYl&#10;ckCG5WLVREzNMfUUsPN7vL5S3GNp+6TRlZsaYqfK7vnGrjplJki5apfdck1DEG+25j0wYspfVHCs&#10;CAO3xpfGoYfj15QpGbm+uRS1D0/G2jo869k88E/33T0hA62QtpBJdJGaSn7kDOxIuykyVsQUrJEl&#10;uuAkHA87i+wIZT/qV1aCsv3m5kymLbXGDXx9c4J+UiA/e1nLyGDsRaZg6wmjsHXhp0iHIM+Vtqqn&#10;adYs180r6/Lru0a//x/bVwAAAP//AwBQSwMEFAAGAAgAAAAhAIni8LXfAAAACQEAAA8AAABkcnMv&#10;ZG93bnJldi54bWxMj8tOwzAQRfdI/IM1SOxaJxWPNsSpACkrEBUpLNi58TQJxOPUdtvw9x3EAnbz&#10;OLpzJl+OthcH9KFzpCCdJiCQamc6ahS8rcvJHESImozuHaGCbwywLM7Pcp0Zd6RXPFSxERxCIdMK&#10;2hiHTMpQt2h1mLoBiXdb562O3PpGGq+PHG57OUuSG2l1R3yh1QM+tlh/VXurYIsv70/B4+55t3r4&#10;KKvVp23KtVKXF+P9HYiIY/yD4Uef1aFgp43bkwmiVzC5vkoZ5SJdgGBgvpjdgtj8DmSRy/8fFCcA&#10;AAD//wMAUEsBAi0AFAAGAAgAAAAhALaDOJL+AAAA4QEAABMAAAAAAAAAAAAAAAAAAAAAAFtDb250&#10;ZW50X1R5cGVzXS54bWxQSwECLQAUAAYACAAAACEAOP0h/9YAAACUAQAACwAAAAAAAAAAAAAAAAAv&#10;AQAAX3JlbHMvLnJlbHNQSwECLQAUAAYACAAAACEAqAWqvb8BAABnAwAADgAAAAAAAAAAAAAAAAAu&#10;AgAAZHJzL2Uyb0RvYy54bWxQSwECLQAUAAYACAAAACEAieLwtd8AAAAJAQAADwAAAAAAAAAAAAAA&#10;AAAZBAAAZHJzL2Rvd25yZXYueG1sUEsFBgAAAAAEAAQA8wAAACUFAAAAAA==&#10;">
              <v:stroke joinstyle="miter"/>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3D08" w:rsidRDefault="000B3D08">
      <w:pPr>
        <w:spacing w:line="240" w:lineRule="auto"/>
        <w:ind w:left="0" w:hanging="2"/>
      </w:pPr>
      <w:r>
        <w:separator/>
      </w:r>
    </w:p>
  </w:footnote>
  <w:footnote w:type="continuationSeparator" w:id="0">
    <w:p w:rsidR="000B3D08" w:rsidRDefault="000B3D08">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0F13" w:rsidRDefault="00BD3E37">
    <w:pPr>
      <w:pBdr>
        <w:top w:val="nil"/>
        <w:left w:val="nil"/>
        <w:bottom w:val="nil"/>
        <w:right w:val="nil"/>
        <w:between w:val="nil"/>
      </w:pBdr>
      <w:tabs>
        <w:tab w:val="center" w:pos="4419"/>
        <w:tab w:val="right" w:pos="8838"/>
      </w:tabs>
      <w:spacing w:line="240" w:lineRule="auto"/>
      <w:ind w:left="0" w:hanging="2"/>
      <w:jc w:val="center"/>
      <w:rPr>
        <w:color w:val="000000"/>
        <w:sz w:val="28"/>
        <w:szCs w:val="28"/>
      </w:rPr>
    </w:pPr>
    <w:r>
      <w:rPr>
        <w:noProof/>
        <w:color w:val="000000"/>
        <w:lang w:val="es-CO" w:eastAsia="es-CO"/>
      </w:rPr>
      <w:drawing>
        <wp:inline distT="0" distB="0" distL="114300" distR="114300">
          <wp:extent cx="697230" cy="85280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97230" cy="852805"/>
                  </a:xfrm>
                  <a:prstGeom prst="rect">
                    <a:avLst/>
                  </a:prstGeom>
                  <a:ln/>
                </pic:spPr>
              </pic:pic>
            </a:graphicData>
          </a:graphic>
        </wp:inline>
      </w:drawing>
    </w:r>
  </w:p>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r>
      <w:rPr>
        <w:rFonts w:ascii="Calibri" w:eastAsia="Calibri" w:hAnsi="Calibri" w:cs="Calibri"/>
        <w:b/>
        <w:color w:val="000000"/>
        <w:sz w:val="24"/>
        <w:szCs w:val="24"/>
      </w:rPr>
      <w:t>UNIVERSIDAD COLEGIO MAYOR DE CUNDINAMARCA</w:t>
    </w:r>
  </w:p>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División Servicios Administrativos </w:t>
    </w:r>
  </w:p>
  <w:p w:rsidR="00A61AE4" w:rsidRDefault="00A61AE4">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95461"/>
    <w:multiLevelType w:val="multilevel"/>
    <w:tmpl w:val="951E4424"/>
    <w:lvl w:ilvl="0">
      <w:start w:val="2"/>
      <w:numFmt w:val="bullet"/>
      <w:lvlText w:val="-"/>
      <w:lvlJc w:val="left"/>
      <w:pPr>
        <w:ind w:left="2345" w:hanging="360"/>
      </w:pPr>
      <w:rPr>
        <w:rFonts w:ascii="Trebuchet MS" w:eastAsia="Trebuchet MS" w:hAnsi="Trebuchet MS" w:cs="Trebuchet MS"/>
        <w:vertAlign w:val="baseline"/>
      </w:rPr>
    </w:lvl>
    <w:lvl w:ilvl="1">
      <w:start w:val="1"/>
      <w:numFmt w:val="bullet"/>
      <w:lvlText w:val="o"/>
      <w:lvlJc w:val="left"/>
      <w:pPr>
        <w:ind w:left="3065" w:hanging="360"/>
      </w:pPr>
      <w:rPr>
        <w:rFonts w:ascii="Courier New" w:eastAsia="Courier New" w:hAnsi="Courier New" w:cs="Courier New"/>
        <w:vertAlign w:val="baseline"/>
      </w:rPr>
    </w:lvl>
    <w:lvl w:ilvl="2">
      <w:start w:val="1"/>
      <w:numFmt w:val="bullet"/>
      <w:lvlText w:val="▪"/>
      <w:lvlJc w:val="left"/>
      <w:pPr>
        <w:ind w:left="3785" w:hanging="360"/>
      </w:pPr>
      <w:rPr>
        <w:rFonts w:ascii="Noto Sans Symbols" w:eastAsia="Noto Sans Symbols" w:hAnsi="Noto Sans Symbols" w:cs="Noto Sans Symbols"/>
        <w:vertAlign w:val="baseline"/>
      </w:rPr>
    </w:lvl>
    <w:lvl w:ilvl="3">
      <w:start w:val="1"/>
      <w:numFmt w:val="bullet"/>
      <w:lvlText w:val="●"/>
      <w:lvlJc w:val="left"/>
      <w:pPr>
        <w:ind w:left="4505" w:hanging="360"/>
      </w:pPr>
      <w:rPr>
        <w:rFonts w:ascii="Noto Sans Symbols" w:eastAsia="Noto Sans Symbols" w:hAnsi="Noto Sans Symbols" w:cs="Noto Sans Symbols"/>
        <w:vertAlign w:val="baseline"/>
      </w:rPr>
    </w:lvl>
    <w:lvl w:ilvl="4">
      <w:start w:val="1"/>
      <w:numFmt w:val="bullet"/>
      <w:lvlText w:val="o"/>
      <w:lvlJc w:val="left"/>
      <w:pPr>
        <w:ind w:left="5225" w:hanging="360"/>
      </w:pPr>
      <w:rPr>
        <w:rFonts w:ascii="Courier New" w:eastAsia="Courier New" w:hAnsi="Courier New" w:cs="Courier New"/>
        <w:vertAlign w:val="baseline"/>
      </w:rPr>
    </w:lvl>
    <w:lvl w:ilvl="5">
      <w:start w:val="1"/>
      <w:numFmt w:val="bullet"/>
      <w:lvlText w:val="▪"/>
      <w:lvlJc w:val="left"/>
      <w:pPr>
        <w:ind w:left="5945" w:hanging="360"/>
      </w:pPr>
      <w:rPr>
        <w:rFonts w:ascii="Noto Sans Symbols" w:eastAsia="Noto Sans Symbols" w:hAnsi="Noto Sans Symbols" w:cs="Noto Sans Symbols"/>
        <w:vertAlign w:val="baseline"/>
      </w:rPr>
    </w:lvl>
    <w:lvl w:ilvl="6">
      <w:start w:val="1"/>
      <w:numFmt w:val="bullet"/>
      <w:lvlText w:val="●"/>
      <w:lvlJc w:val="left"/>
      <w:pPr>
        <w:ind w:left="6665" w:hanging="360"/>
      </w:pPr>
      <w:rPr>
        <w:rFonts w:ascii="Noto Sans Symbols" w:eastAsia="Noto Sans Symbols" w:hAnsi="Noto Sans Symbols" w:cs="Noto Sans Symbols"/>
        <w:vertAlign w:val="baseline"/>
      </w:rPr>
    </w:lvl>
    <w:lvl w:ilvl="7">
      <w:start w:val="1"/>
      <w:numFmt w:val="bullet"/>
      <w:lvlText w:val="o"/>
      <w:lvlJc w:val="left"/>
      <w:pPr>
        <w:ind w:left="7385" w:hanging="360"/>
      </w:pPr>
      <w:rPr>
        <w:rFonts w:ascii="Courier New" w:eastAsia="Courier New" w:hAnsi="Courier New" w:cs="Courier New"/>
        <w:vertAlign w:val="baseline"/>
      </w:rPr>
    </w:lvl>
    <w:lvl w:ilvl="8">
      <w:start w:val="1"/>
      <w:numFmt w:val="bullet"/>
      <w:lvlText w:val="▪"/>
      <w:lvlJc w:val="left"/>
      <w:pPr>
        <w:ind w:left="8105"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F13"/>
    <w:rsid w:val="000066E5"/>
    <w:rsid w:val="00042164"/>
    <w:rsid w:val="000B3D08"/>
    <w:rsid w:val="00166CB7"/>
    <w:rsid w:val="00215FE9"/>
    <w:rsid w:val="00304702"/>
    <w:rsid w:val="003D3A58"/>
    <w:rsid w:val="00436E21"/>
    <w:rsid w:val="004724BA"/>
    <w:rsid w:val="00486A77"/>
    <w:rsid w:val="00510F13"/>
    <w:rsid w:val="00587266"/>
    <w:rsid w:val="005B63B9"/>
    <w:rsid w:val="006446A3"/>
    <w:rsid w:val="007E6778"/>
    <w:rsid w:val="00815F0D"/>
    <w:rsid w:val="008657AC"/>
    <w:rsid w:val="00A61AE4"/>
    <w:rsid w:val="00A8674D"/>
    <w:rsid w:val="00AA153B"/>
    <w:rsid w:val="00AE1A2E"/>
    <w:rsid w:val="00B96FAC"/>
    <w:rsid w:val="00BD3E37"/>
    <w:rsid w:val="00D551D5"/>
    <w:rsid w:val="00D621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34C697-17AB-42DB-96AF-C292EDE7E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uiPriority w:val="9"/>
    <w:qFormat/>
    <w:pPr>
      <w:keepNext/>
      <w:ind w:left="284"/>
      <w:jc w:val="both"/>
    </w:pPr>
    <w:rPr>
      <w:rFonts w:ascii="Tahoma" w:hAnsi="Tahoma"/>
      <w:b/>
    </w:rPr>
  </w:style>
  <w:style w:type="paragraph" w:styleId="Ttulo2">
    <w:name w:val="heading 2"/>
    <w:basedOn w:val="Normal"/>
    <w:next w:val="Normal"/>
    <w:uiPriority w:val="9"/>
    <w:semiHidden/>
    <w:unhideWhenUsed/>
    <w:qFormat/>
    <w:pPr>
      <w:keepNext/>
      <w:jc w:val="center"/>
      <w:outlineLvl w:val="1"/>
    </w:pPr>
    <w:rPr>
      <w:rFonts w:ascii="Tahoma" w:hAnsi="Tahoma"/>
      <w:sz w:val="24"/>
    </w:rPr>
  </w:style>
  <w:style w:type="paragraph" w:styleId="Ttulo3">
    <w:name w:val="heading 3"/>
    <w:basedOn w:val="Normal"/>
    <w:next w:val="Normal"/>
    <w:uiPriority w:val="9"/>
    <w:semiHidden/>
    <w:unhideWhenUsed/>
    <w:qFormat/>
    <w:pPr>
      <w:keepNext/>
      <w:jc w:val="both"/>
      <w:outlineLvl w:val="2"/>
    </w:pPr>
    <w:rPr>
      <w:rFonts w:ascii="Tahoma" w:hAnsi="Tahoma"/>
      <w:sz w:val="24"/>
    </w:rPr>
  </w:style>
  <w:style w:type="paragraph" w:styleId="Ttulo4">
    <w:name w:val="heading 4"/>
    <w:basedOn w:val="Normal"/>
    <w:next w:val="Normal"/>
    <w:uiPriority w:val="9"/>
    <w:semiHidden/>
    <w:unhideWhenUsed/>
    <w:qFormat/>
    <w:pPr>
      <w:keepNext/>
      <w:outlineLvl w:val="3"/>
    </w:pPr>
    <w:rPr>
      <w:rFonts w:ascii="Tahoma" w:hAnsi="Tahoma"/>
      <w:b/>
    </w:rPr>
  </w:style>
  <w:style w:type="paragraph" w:styleId="Ttulo5">
    <w:name w:val="heading 5"/>
    <w:basedOn w:val="Normal"/>
    <w:next w:val="Normal"/>
    <w:uiPriority w:val="9"/>
    <w:semiHidden/>
    <w:unhideWhenUsed/>
    <w:qFormat/>
    <w:pPr>
      <w:keepNext/>
      <w:jc w:val="right"/>
      <w:outlineLvl w:val="4"/>
    </w:pPr>
    <w:rPr>
      <w:b/>
      <w:sz w:val="22"/>
    </w:rPr>
  </w:style>
  <w:style w:type="paragraph" w:styleId="Ttulo6">
    <w:name w:val="heading 6"/>
    <w:basedOn w:val="Normal"/>
    <w:next w:val="Normal"/>
    <w:uiPriority w:val="9"/>
    <w:semiHidden/>
    <w:unhideWhenUsed/>
    <w:qFormat/>
    <w:pPr>
      <w:keepNext/>
      <w:outlineLvl w:val="5"/>
    </w:pPr>
    <w:rPr>
      <w:rFonts w:ascii="Tahoma" w:hAnsi="Tahoma"/>
      <w:b/>
      <w:sz w:val="24"/>
    </w:rPr>
  </w:style>
  <w:style w:type="paragraph" w:styleId="Ttulo7">
    <w:name w:val="heading 7"/>
    <w:basedOn w:val="Normal"/>
    <w:next w:val="Normal"/>
    <w:pPr>
      <w:keepNext/>
      <w:jc w:val="center"/>
      <w:outlineLvl w:val="6"/>
    </w:pPr>
    <w:rPr>
      <w:rFonts w:ascii="Arial" w:hAnsi="Arial"/>
      <w:b/>
      <w:sz w:val="24"/>
    </w:rPr>
  </w:style>
  <w:style w:type="paragraph" w:styleId="Ttulo8">
    <w:name w:val="heading 8"/>
    <w:basedOn w:val="Normal"/>
    <w:next w:val="Normal"/>
    <w:pPr>
      <w:keepNext/>
      <w:outlineLvl w:val="7"/>
    </w:pPr>
    <w:rPr>
      <w:rFonts w:ascii="Tahoma" w:hAnsi="Tahoma"/>
      <w:sz w:val="24"/>
    </w:rPr>
  </w:style>
  <w:style w:type="paragraph" w:styleId="Ttulo9">
    <w:name w:val="heading 9"/>
    <w:basedOn w:val="Normal"/>
    <w:next w:val="Normal"/>
    <w:pPr>
      <w:keepNext/>
      <w:jc w:val="both"/>
      <w:outlineLvl w:val="8"/>
    </w:pPr>
    <w:rPr>
      <w:rFonts w:ascii="Tahoma" w:hAnsi="Tahoma"/>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customStyle="1" w:styleId="Epgrafe">
    <w:name w:val="Epígrafe"/>
    <w:basedOn w:val="Normal"/>
    <w:next w:val="Normal"/>
    <w:pPr>
      <w:jc w:val="center"/>
    </w:pPr>
    <w:rPr>
      <w:rFonts w:ascii="Arial" w:hAnsi="Arial"/>
      <w:b/>
      <w:sz w:val="24"/>
    </w:rPr>
  </w:style>
  <w:style w:type="paragraph" w:styleId="Textoindependiente">
    <w:name w:val="Body Text"/>
    <w:basedOn w:val="Normal"/>
    <w:pPr>
      <w:jc w:val="both"/>
    </w:pPr>
    <w:rPr>
      <w:rFonts w:ascii="Tahoma" w:hAnsi="Tahoma"/>
      <w:sz w:val="22"/>
    </w:rPr>
  </w:style>
  <w:style w:type="paragraph" w:styleId="Textoindependiente2">
    <w:name w:val="Body Text 2"/>
    <w:basedOn w:val="Normal"/>
    <w:pPr>
      <w:jc w:val="both"/>
    </w:pPr>
    <w:rPr>
      <w:rFonts w:ascii="Tahoma" w:hAnsi="Tahoma"/>
    </w:rPr>
  </w:style>
  <w:style w:type="paragraph" w:styleId="Sangradetextonormal">
    <w:name w:val="Body Text Indent"/>
    <w:basedOn w:val="Normal"/>
    <w:pPr>
      <w:spacing w:line="360" w:lineRule="auto"/>
      <w:ind w:left="284"/>
      <w:jc w:val="both"/>
    </w:pPr>
    <w:rPr>
      <w:rFonts w:ascii="Tahoma" w:hAnsi="Tahoma"/>
      <w:sz w:val="22"/>
    </w:rPr>
  </w:style>
  <w:style w:type="paragraph" w:styleId="Textoindependiente3">
    <w:name w:val="Body Text 3"/>
    <w:basedOn w:val="Normal"/>
    <w:rPr>
      <w:rFonts w:ascii="Tahoma" w:hAnsi="Tahoma"/>
      <w:sz w:val="24"/>
    </w:rPr>
  </w:style>
  <w:style w:type="paragraph" w:styleId="Lista">
    <w:name w:val="List"/>
    <w:basedOn w:val="Normal"/>
    <w:pPr>
      <w:ind w:left="283" w:hanging="283"/>
    </w:pPr>
  </w:style>
  <w:style w:type="paragraph" w:styleId="Encabezadodemensaj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 w:val="24"/>
    </w:rPr>
  </w:style>
  <w:style w:type="paragraph" w:styleId="Cierre">
    <w:name w:val="Closing"/>
    <w:basedOn w:val="Normal"/>
    <w:pPr>
      <w:ind w:left="4252"/>
    </w:pPr>
  </w:style>
  <w:style w:type="character" w:styleId="Hipervnculo">
    <w:name w:val="Hyperlink"/>
    <w:rPr>
      <w:color w:val="0000FF"/>
      <w:w w:val="100"/>
      <w:position w:val="-1"/>
      <w:u w:val="single"/>
      <w:effect w:val="none"/>
      <w:vertAlign w:val="baseline"/>
      <w:cs w:val="0"/>
      <w:em w:val="none"/>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customStyle="1" w:styleId="Tibitoc">
    <w:name w:val="Tibitoc"/>
    <w:basedOn w:val="Normal"/>
    <w:pPr>
      <w:widowControl w:val="0"/>
      <w:jc w:val="center"/>
    </w:pPr>
    <w:rPr>
      <w:rFonts w:ascii="Arial" w:hAnsi="Arial"/>
      <w:b/>
      <w:sz w:val="24"/>
    </w:rPr>
  </w:style>
  <w:style w:type="paragraph" w:customStyle="1" w:styleId="estilo23">
    <w:name w:val="estilo23"/>
    <w:basedOn w:val="Normal"/>
    <w:pPr>
      <w:spacing w:before="100" w:beforeAutospacing="1" w:after="100" w:afterAutospacing="1"/>
    </w:pPr>
    <w:rPr>
      <w:rFonts w:ascii="Verdana" w:eastAsia="Arial Unicode MS" w:hAnsi="Verdana" w:cs="Arial Unicode MS"/>
      <w:sz w:val="21"/>
      <w:szCs w:val="21"/>
    </w:rPr>
  </w:style>
  <w:style w:type="character" w:styleId="Textoennegrita">
    <w:name w:val="Strong"/>
    <w:rPr>
      <w:b/>
      <w:bCs/>
      <w:w w:val="100"/>
      <w:position w:val="-1"/>
      <w:effect w:val="none"/>
      <w:vertAlign w:val="baseline"/>
      <w:cs w:val="0"/>
      <w:em w:val="none"/>
    </w:rPr>
  </w:style>
  <w:style w:type="paragraph" w:styleId="Textodeglobo">
    <w:name w:val="Balloon Text"/>
    <w:basedOn w:val="Normal"/>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paragraph" w:styleId="Prrafodelista">
    <w:name w:val="List Paragraph"/>
    <w:basedOn w:val="Normal"/>
    <w:uiPriority w:val="34"/>
    <w:qFormat/>
    <w:rsid w:val="008657AC"/>
    <w:pPr>
      <w:ind w:left="720"/>
      <w:contextualSpacing/>
    </w:pPr>
  </w:style>
  <w:style w:type="paragraph" w:styleId="Sinespaciado">
    <w:name w:val="No Spacing"/>
    <w:uiPriority w:val="1"/>
    <w:qFormat/>
    <w:rsid w:val="00215FE9"/>
    <w:pPr>
      <w:suppressAutoHyphens/>
      <w:ind w:leftChars="-1" w:left="-1" w:hangingChars="1" w:hanging="1"/>
      <w:textDirection w:val="btLr"/>
      <w:textAlignment w:val="top"/>
      <w:outlineLvl w:val="0"/>
    </w:pPr>
    <w:rPr>
      <w:position w:val="-1"/>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6608061">
      <w:bodyDiv w:val="1"/>
      <w:marLeft w:val="0"/>
      <w:marRight w:val="0"/>
      <w:marTop w:val="0"/>
      <w:marBottom w:val="0"/>
      <w:divBdr>
        <w:top w:val="none" w:sz="0" w:space="0" w:color="auto"/>
        <w:left w:val="none" w:sz="0" w:space="0" w:color="auto"/>
        <w:bottom w:val="none" w:sz="0" w:space="0" w:color="auto"/>
        <w:right w:val="none" w:sz="0" w:space="0" w:color="auto"/>
      </w:divBdr>
    </w:div>
    <w:div w:id="1940063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809</Words>
  <Characters>4453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Santiago Cardenas Vargas</dc:creator>
  <cp:lastModifiedBy>Carlos Enrique Andrade Contreras</cp:lastModifiedBy>
  <cp:revision>2</cp:revision>
  <dcterms:created xsi:type="dcterms:W3CDTF">2022-07-25T13:44:00Z</dcterms:created>
  <dcterms:modified xsi:type="dcterms:W3CDTF">2022-07-25T13:44:00Z</dcterms:modified>
</cp:coreProperties>
</file>